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ind w:left="0" w:right="0" w:hanging="0"/>
        <w:jc w:val="left"/>
        <w:textAlignment w:val="auto"/>
        <w:rPr>
          <w:sz w:val="2"/>
        </w:rPr>
      </w:pPr>
      <w:r>
        <w:rPr>
          <w:sz w:val="2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/>
      </w:pPr>
      <w:r>
        <w:rPr>
          <w:rFonts w:eastAsia="Arial" w:cs="Arial" w:ascii="Arial" w:hAnsi="Arial"/>
          <w:b/>
          <w:sz w:val="30"/>
        </w:rPr>
        <w:t>ПРЕСС-РЕЛИЗ</w:t>
      </w:r>
    </w:p>
    <w:p>
      <w:pPr>
        <w:pStyle w:val="Normal"/>
        <w:widowControl/>
        <w:suppressAutoHyphens w:val="true"/>
        <w:bidi w:val="0"/>
        <w:ind w:left="0" w:right="0" w:firstLine="567"/>
        <w:jc w:val="center"/>
        <w:textAlignment w:val="auto"/>
        <w:rPr>
          <w:rFonts w:ascii="Arial" w:hAnsi="Arial" w:eastAsia="Arial" w:cs="Arial"/>
          <w:b/>
          <w:b/>
          <w:sz w:val="10"/>
        </w:rPr>
      </w:pPr>
      <w:r>
        <w:rPr>
          <w:rFonts w:eastAsia="Arial" w:cs="Arial" w:ascii="Arial" w:hAnsi="Arial"/>
          <w:b/>
          <w:sz w:val="10"/>
        </w:rPr>
      </w:r>
    </w:p>
    <w:p>
      <w:pPr>
        <w:pStyle w:val="NormalWeb"/>
        <w:widowControl w:val="false"/>
        <w:shd w:fill="FFFFFF"/>
        <w:suppressAutoHyphens w:val="true"/>
        <w:bidi w:val="0"/>
        <w:spacing w:lineRule="auto" w:line="276" w:before="0" w:after="0"/>
        <w:ind w:left="0" w:right="0" w:hanging="0"/>
        <w:jc w:val="center"/>
        <w:textAlignment w:val="auto"/>
        <w:rPr/>
      </w:pPr>
      <w:r>
        <w:rPr>
          <w:rFonts w:eastAsia="Arial" w:cs="Arial" w:ascii="Arial" w:hAnsi="Arial"/>
          <w:b/>
          <w:color w:val="141823"/>
          <w:sz w:val="21"/>
        </w:rPr>
        <w:t xml:space="preserve">Более 62 миллионов рублей пенсионных накоплений выплачено правопреемникам </w:t>
      </w:r>
    </w:p>
    <w:p>
      <w:pPr>
        <w:pStyle w:val="NormalWeb"/>
        <w:widowControl w:val="false"/>
        <w:shd w:fill="FFFFFF"/>
        <w:suppressAutoHyphens w:val="true"/>
        <w:bidi w:val="0"/>
        <w:spacing w:lineRule="auto" w:line="276" w:before="0" w:after="0"/>
        <w:ind w:left="0" w:right="0" w:hanging="0"/>
        <w:jc w:val="center"/>
        <w:textAlignment w:val="auto"/>
        <w:rPr/>
      </w:pPr>
      <w:r>
        <w:rPr>
          <w:rFonts w:eastAsia="Arial" w:cs="Arial" w:ascii="Arial" w:hAnsi="Arial"/>
          <w:b/>
          <w:color w:val="141823"/>
          <w:sz w:val="21"/>
        </w:rPr>
        <w:t>в Иркутской области в 2017 году</w:t>
      </w:r>
    </w:p>
    <w:p>
      <w:pPr>
        <w:pStyle w:val="NormalWeb"/>
        <w:widowControl w:val="false"/>
        <w:shd w:fill="FFFFFF"/>
        <w:suppressAutoHyphens w:val="true"/>
        <w:bidi w:val="0"/>
        <w:spacing w:lineRule="auto" w:line="276" w:before="0" w:after="0"/>
        <w:ind w:left="0" w:right="0" w:hanging="0"/>
        <w:jc w:val="center"/>
        <w:textAlignment w:val="auto"/>
        <w:rPr>
          <w:rFonts w:ascii="Arial" w:hAnsi="Arial" w:eastAsia="Arial" w:cs="Arial"/>
          <w:b/>
          <w:b/>
          <w:color w:val="141823"/>
          <w:sz w:val="10"/>
        </w:rPr>
      </w:pPr>
      <w:r>
        <w:rPr>
          <w:rFonts w:eastAsia="Arial" w:cs="Arial" w:ascii="Arial" w:hAnsi="Arial"/>
          <w:b/>
          <w:color w:val="141823"/>
          <w:sz w:val="10"/>
        </w:rPr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1"/>
        </w:rPr>
        <w:t>В 2017 году органы Пенсионного фонда по Иркутской области выплатили правопреемникам 62,2 млн рублей средств пенсионных накоплений. Средний размер выплат по одному правопреемнику составил порядка 37 тыс. рублей, максимальный – 360 тыс. рублей.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rFonts w:ascii="Arial" w:hAnsi="Arial" w:eastAsia="Arial" w:cs="Arial"/>
          <w:sz w:val="10"/>
        </w:rPr>
      </w:pPr>
      <w:r>
        <w:rPr>
          <w:rFonts w:eastAsia="Arial" w:cs="Arial" w:ascii="Arial" w:hAnsi="Arial"/>
          <w:sz w:val="10"/>
        </w:rPr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1"/>
        </w:rPr>
        <w:t>Выплату средств пенсионных накоплений правопреемникам умерших застрахованных лиц органы ПФР осуществляют с 2008 года. За весь период (2008–2017 гг.) в Иркутской области выплачено 411 млн рублей.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rFonts w:ascii="Arial" w:hAnsi="Arial" w:eastAsia="Arial" w:cs="Arial"/>
          <w:sz w:val="10"/>
        </w:rPr>
      </w:pPr>
      <w:r>
        <w:rPr>
          <w:rFonts w:eastAsia="Arial" w:cs="Arial" w:ascii="Arial" w:hAnsi="Arial"/>
          <w:sz w:val="10"/>
        </w:rPr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1"/>
        </w:rPr>
        <w:t>Выплата пенсионных накоплений правопреемникам осуществляется при условии, если смерть застрахованного лица наступила до назначения ему накопительной пенсии. Размер данной выплаты напрямую зависит от наличия и величины средств, учтенных в специальной части индивидуального лицевого счета умершего застрахованного лица и не выплаченных ему при жизни.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rFonts w:ascii="Arial" w:hAnsi="Arial" w:eastAsia="Arial" w:cs="Arial"/>
          <w:sz w:val="10"/>
        </w:rPr>
      </w:pPr>
      <w:r>
        <w:rPr>
          <w:rFonts w:eastAsia="Arial" w:cs="Arial" w:ascii="Arial" w:hAnsi="Arial"/>
          <w:sz w:val="10"/>
        </w:rPr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1"/>
        </w:rPr>
        <w:t>Важно, что правопреемникам выплачиваются только те средства, которые фактически уплачены в Пенсионный фонд работодателем и самим застрахованным лицом, а также средства, поступившие в рамках государственной программы софинансирования пенсий. Если пенсионные накопления умершего гражданина находятся в негосударственном пенсионном фонде (НПФ), выплаты правопреемнику осуществляет соответствующий НПФ. Однако в случае аннулирования лицензии НПФ, выплату накоплений будет производить Пенсионный фонд Российской Федерации.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rFonts w:ascii="Arial" w:hAnsi="Arial" w:eastAsia="Arial" w:cs="Arial"/>
          <w:sz w:val="10"/>
        </w:rPr>
      </w:pPr>
      <w:r>
        <w:rPr>
          <w:rFonts w:eastAsia="Arial" w:cs="Arial" w:ascii="Arial" w:hAnsi="Arial"/>
          <w:sz w:val="10"/>
        </w:rPr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1"/>
        </w:rPr>
        <w:t>Обращаем внимание, что выплата правопреемникам носит заявительный характер, то есть органы ПФР могут выплатить средства только в том случае, если правопреемник сам подал соответствующее заявление в территориальное Управление Пенсионного фонда.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rFonts w:ascii="Arial" w:hAnsi="Arial" w:eastAsia="Arial" w:cs="Arial"/>
          <w:sz w:val="10"/>
        </w:rPr>
      </w:pPr>
      <w:r>
        <w:rPr>
          <w:rFonts w:eastAsia="Arial" w:cs="Arial" w:ascii="Arial" w:hAnsi="Arial"/>
          <w:sz w:val="10"/>
        </w:rPr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1"/>
        </w:rPr>
        <w:t xml:space="preserve">Напомним, что обратиться в территориальный орган ПФР с заявлением о выплате средств пенсионных накоплений правопреемнику необходимо до истечения шести месяцев со дня смерти застрахованного лица. Правопреемник, пропустивший указанный срок, может восстановить свои права в судебном порядке. 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rFonts w:ascii="Arial" w:hAnsi="Arial" w:eastAsia="Arial" w:cs="Arial"/>
          <w:sz w:val="10"/>
        </w:rPr>
      </w:pPr>
      <w:r>
        <w:rPr>
          <w:rFonts w:eastAsia="Arial" w:cs="Arial" w:ascii="Arial" w:hAnsi="Arial"/>
          <w:sz w:val="10"/>
        </w:rPr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1"/>
        </w:rPr>
        <w:t>Правопреемники определяются в соответствии с нормами законодательства. В случае если гражданин при жизни не подал заявление с указанием конкретных правопреемников, круг лиц, имеющих право на получение средств пенсионных накоплений, определяется таким образом: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1"/>
        </w:rPr>
        <w:t>- первая очередь – дети, в том числе усыновленные, супруг и родители (усыновители);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1"/>
        </w:rPr>
        <w:t xml:space="preserve">- вторая очередь – братья, сестры, дедушки, бабушки и внуки. 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rFonts w:ascii="Arial" w:hAnsi="Arial" w:eastAsia="Arial" w:cs="Arial"/>
          <w:sz w:val="10"/>
        </w:rPr>
      </w:pPr>
      <w:r>
        <w:rPr>
          <w:rFonts w:eastAsia="Arial" w:cs="Arial" w:ascii="Arial" w:hAnsi="Arial"/>
          <w:sz w:val="10"/>
        </w:rPr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1"/>
        </w:rPr>
        <w:t>Более подробно с порядком выплаты средств пенсионных накоплений правопреемникам можно ознакомиться на сайте Пенсионного фонда Российской Федерации (</w:t>
      </w:r>
      <w:hyperlink r:id="rId2">
        <w:r>
          <w:rPr>
            <w:rStyle w:val="Style13"/>
            <w:rFonts w:eastAsia="Arial" w:cs="Arial" w:ascii="Arial" w:hAnsi="Arial"/>
            <w:color w:val="0000FF"/>
            <w:sz w:val="21"/>
            <w:u w:val="single"/>
          </w:rPr>
          <w:t>www.pfrf.ru</w:t>
        </w:r>
      </w:hyperlink>
      <w:r>
        <w:rPr>
          <w:rFonts w:eastAsia="Arial" w:cs="Arial" w:ascii="Arial" w:hAnsi="Arial"/>
          <w:sz w:val="21"/>
        </w:rPr>
        <w:t>).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rFonts w:ascii="Arial" w:hAnsi="Arial" w:eastAsia="Arial" w:cs="Arial"/>
          <w:sz w:val="21"/>
        </w:rPr>
      </w:pPr>
      <w:r>
        <w:rPr>
          <w:rFonts w:eastAsia="Arial" w:cs="Arial" w:ascii="Arial" w:hAnsi="Arial"/>
          <w:sz w:val="21"/>
        </w:rPr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rFonts w:ascii="Arial" w:hAnsi="Arial" w:eastAsia="Arial" w:cs="Arial"/>
          <w:sz w:val="21"/>
        </w:rPr>
      </w:pPr>
      <w:r>
        <w:rPr>
          <w:rFonts w:eastAsia="Arial" w:cs="Arial" w:ascii="Arial" w:hAnsi="Arial"/>
          <w:sz w:val="21"/>
        </w:rPr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right"/>
        <w:textAlignment w:val="auto"/>
        <w:rPr/>
      </w:pPr>
      <w:r>
        <w:rPr>
          <w:rFonts w:eastAsia="Arial" w:cs="Arial" w:ascii="Arial" w:hAnsi="Arial"/>
          <w:b/>
          <w:sz w:val="16"/>
        </w:rPr>
        <w:t xml:space="preserve">Дата рассылки: </w:t>
      </w:r>
      <w:r>
        <w:rPr>
          <w:rFonts w:eastAsia="Arial" w:cs="Arial" w:ascii="Arial" w:hAnsi="Arial"/>
          <w:b/>
          <w:sz w:val="16"/>
          <w:lang w:val="en-US"/>
        </w:rPr>
        <w:t>2</w:t>
      </w:r>
      <w:r>
        <w:rPr>
          <w:rFonts w:eastAsia="Arial" w:cs="Arial" w:ascii="Arial" w:hAnsi="Arial"/>
          <w:b/>
          <w:sz w:val="16"/>
        </w:rPr>
        <w:t>6.02.2017</w:t>
      </w:r>
    </w:p>
    <w:sectPr>
      <w:footerReference w:type="default" r:id="rId3"/>
      <w:type w:val="nextPage"/>
      <w:pgSz w:w="12240" w:h="15840"/>
      <w:pgMar w:left="1134" w:right="851" w:header="0" w:top="426" w:footer="72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widowControl/>
      <w:tabs>
        <w:tab w:val="center" w:pos="4677" w:leader="none"/>
        <w:tab w:val="right" w:pos="9355" w:leader="none"/>
      </w:tabs>
      <w:bidi w:val="0"/>
      <w:ind w:left="0" w:right="360" w:hanging="0"/>
      <w:jc w:val="left"/>
      <w:textAlignment w:val="auto"/>
      <w:rPr>
        <w:rFonts w:ascii="Times New Roman" w:hAnsi="Times New Roman" w:eastAsia="Times New Roman"/>
        <w:sz w:val="24"/>
        <w:lang w:val="ru-RU" w:eastAsia="ar-SA"/>
      </w:rPr>
    </w:pPr>
    <w:r>
      <w:rPr>
        <w:rFonts w:eastAsia="Times New Roman"/>
        <w:sz w:val="24"/>
        <w:lang w:val="ru-RU" w:eastAsia="ar-SA"/>
      </w:rPr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hi-IN"/>
    </w:rPr>
  </w:style>
  <w:style w:type="paragraph" w:styleId="1">
    <w:name w:val="Heading 1"/>
    <w:basedOn w:val="Normal"/>
    <w:qFormat/>
    <w:pPr>
      <w:keepNext/>
      <w:widowControl w:val="false"/>
      <w:tabs>
        <w:tab w:val="left" w:pos="1440" w:leader="none"/>
      </w:tabs>
      <w:suppressAutoHyphens w:val="true"/>
      <w:bidi w:val="0"/>
      <w:spacing w:before="240" w:after="120"/>
      <w:ind w:left="720" w:right="0" w:hanging="360"/>
      <w:jc w:val="left"/>
      <w:textAlignment w:val="auto"/>
    </w:pPr>
    <w:rPr>
      <w:rFonts w:ascii="Times New Roman" w:hAnsi="Times New Roman" w:eastAsia="Tahoma"/>
      <w:b/>
      <w:sz w:val="48"/>
      <w:lang w:val="ru-RU" w:eastAsia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/>
      <w:b/>
      <w:sz w:val="32"/>
    </w:rPr>
  </w:style>
  <w:style w:type="character" w:styleId="Style13">
    <w:name w:val="Интернет-ссылка"/>
    <w:basedOn w:val="DefaultParagraphFont"/>
    <w:rPr>
      <w:rFonts w:eastAsia="Times New Roman"/>
      <w:color w:val="0000FF"/>
      <w:u w:val="single"/>
    </w:rPr>
  </w:style>
  <w:style w:type="character" w:styleId="Appleconvertedspace">
    <w:name w:val="apple-converted-space"/>
    <w:basedOn w:val="DefaultParagraphFont"/>
    <w:qFormat/>
    <w:rPr>
      <w:rFonts w:eastAsia="Times New Roman"/>
    </w:rPr>
  </w:style>
  <w:style w:type="character" w:styleId="Style14">
    <w:name w:val="Выделение"/>
    <w:basedOn w:val="DefaultParagraphFont"/>
    <w:qFormat/>
    <w:rPr>
      <w:rFonts w:eastAsia="Times New Roman"/>
      <w:i/>
    </w:rPr>
  </w:style>
  <w:style w:type="character" w:styleId="Strong">
    <w:name w:val="Strong"/>
    <w:basedOn w:val="DefaultParagraphFont"/>
    <w:qFormat/>
    <w:rPr>
      <w:rFonts w:eastAsia="Times New Roman"/>
      <w:b/>
    </w:rPr>
  </w:style>
  <w:style w:type="character" w:styleId="Style15">
    <w:name w:val="Нижний колонтитул Знак"/>
    <w:basedOn w:val="DefaultParagraphFont"/>
    <w:qFormat/>
    <w:rPr>
      <w:rFonts w:eastAsia="Times New Roman"/>
      <w:sz w:val="24"/>
    </w:rPr>
  </w:style>
  <w:style w:type="character" w:styleId="Pagenumber">
    <w:name w:val="page number"/>
    <w:basedOn w:val="DefaultParagraphFont"/>
    <w:qFormat/>
    <w:rPr>
      <w:rFonts w:eastAsia="Times New Roman"/>
    </w:rPr>
  </w:style>
  <w:style w:type="character" w:styleId="Style16">
    <w:name w:val="Основной текст Знак"/>
    <w:basedOn w:val="DefaultParagraphFont"/>
    <w:qFormat/>
    <w:rPr>
      <w:rFonts w:eastAsia="Times New Roman"/>
      <w:sz w:val="24"/>
    </w:rPr>
  </w:style>
  <w:style w:type="character" w:styleId="Style17">
    <w:name w:val="Текст выноски Знак"/>
    <w:basedOn w:val="DefaultParagraphFont"/>
    <w:qFormat/>
    <w:rPr>
      <w:rFonts w:ascii="Tahoma" w:hAnsi="Tahoma" w:eastAsia="Tahoma"/>
      <w:sz w:val="16"/>
    </w:rPr>
  </w:style>
  <w:style w:type="character" w:styleId="Style18">
    <w:name w:val="Верхний колонтитул Знак"/>
    <w:basedOn w:val="DefaultParagraphFont"/>
    <w:qFormat/>
    <w:rPr>
      <w:rFonts w:eastAsia="Times New Roman"/>
      <w:sz w:val="24"/>
    </w:rPr>
  </w:style>
  <w:style w:type="character" w:styleId="Style19">
    <w:name w:val="Название Знак"/>
    <w:basedOn w:val="DefaultParagraphFont"/>
    <w:qFormat/>
    <w:rPr>
      <w:rFonts w:ascii="Arial" w:hAnsi="Arial" w:eastAsia="Times New Roman"/>
      <w:b/>
      <w:lang w:val="ru-RU" w:eastAsia="zxx"/>
    </w:rPr>
  </w:style>
  <w:style w:type="character" w:styleId="Style20">
    <w:name w:val="Подзаголовок Знак"/>
    <w:basedOn w:val="DefaultParagraphFont"/>
    <w:qFormat/>
    <w:rPr>
      <w:rFonts w:ascii="Arial" w:hAnsi="Arial" w:eastAsia="Times New Roman"/>
      <w:sz w:val="24"/>
      <w:lang w:val="ru-RU" w:eastAsia="zxx"/>
    </w:rPr>
  </w:style>
  <w:style w:type="character" w:styleId="FollowedHyperlink">
    <w:name w:val="FollowedHyperlink"/>
    <w:basedOn w:val="DefaultParagraphFont"/>
    <w:qFormat/>
    <w:rPr>
      <w:rFonts w:eastAsia="Times New Roman"/>
      <w:color w:val="800080"/>
      <w:u w:val="single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Arial"/>
    </w:rPr>
  </w:style>
  <w:style w:type="character" w:styleId="ListLabel20">
    <w:name w:val="ListLabel 20"/>
    <w:qFormat/>
    <w:rPr>
      <w:rFonts w:eastAsia="Arial"/>
    </w:rPr>
  </w:style>
  <w:style w:type="paragraph" w:styleId="Style21">
    <w:name w:val="Заголовок"/>
    <w:basedOn w:val="Normal"/>
    <w:next w:val="Style22"/>
    <w:qFormat/>
    <w:pPr>
      <w:keepNext/>
      <w:widowControl/>
      <w:bidi w:val="0"/>
      <w:spacing w:before="240" w:after="120"/>
      <w:ind w:left="0" w:right="0" w:hanging="0"/>
      <w:jc w:val="left"/>
      <w:textAlignment w:val="auto"/>
    </w:pPr>
    <w:rPr>
      <w:rFonts w:ascii="Liberation Sans" w:hAnsi="Liberation Sans" w:eastAsia="Mangal"/>
      <w:sz w:val="28"/>
      <w:lang w:val="ru-RU" w:eastAsia="ar-SA"/>
    </w:rPr>
  </w:style>
  <w:style w:type="paragraph" w:styleId="Style22">
    <w:name w:val="Body Text"/>
    <w:basedOn w:val="Normal"/>
    <w:pPr>
      <w:widowControl/>
      <w:bidi w:val="0"/>
      <w:spacing w:before="0" w:after="120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  <w:style w:type="paragraph" w:styleId="Style23">
    <w:name w:val="List"/>
    <w:basedOn w:val="Style22"/>
    <w:pPr>
      <w:widowControl/>
      <w:bidi w:val="0"/>
      <w:spacing w:before="0" w:after="120"/>
      <w:ind w:left="0" w:right="0" w:hanging="0"/>
      <w:jc w:val="left"/>
      <w:textAlignment w:val="auto"/>
    </w:pPr>
    <w:rPr>
      <w:rFonts w:ascii="Times New Roman" w:hAnsi="Times New Roman" w:eastAsia="Mangal"/>
      <w:sz w:val="24"/>
      <w:lang w:val="ru-RU" w:eastAsia="ar-SA"/>
    </w:rPr>
  </w:style>
  <w:style w:type="paragraph" w:styleId="Style24">
    <w:name w:val="Caption"/>
    <w:basedOn w:val="Normal"/>
    <w:qFormat/>
    <w:pPr>
      <w:widowControl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Mangal"/>
      <w:i/>
      <w:sz w:val="24"/>
      <w:lang w:val="ru-RU" w:eastAsia="ar-SA"/>
    </w:rPr>
  </w:style>
  <w:style w:type="paragraph" w:styleId="Style25">
    <w:name w:val="Указатель"/>
    <w:basedOn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Mangal"/>
      <w:sz w:val="24"/>
      <w:lang w:val="ru-RU" w:eastAsia="ar-SA"/>
    </w:rPr>
  </w:style>
  <w:style w:type="paragraph" w:styleId="DocumentMap">
    <w:name w:val="DocumentMap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hi-IN"/>
    </w:rPr>
  </w:style>
  <w:style w:type="paragraph" w:styleId="NormalWeb">
    <w:name w:val="Normal (Web)"/>
    <w:basedOn w:val="Normal"/>
    <w:qFormat/>
    <w:pPr>
      <w:widowControl w:val="false"/>
      <w:suppressAutoHyphens w:val="true"/>
      <w:bidi w:val="0"/>
      <w:spacing w:before="0" w:after="144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  <w:style w:type="paragraph" w:styleId="Style26">
    <w:name w:val="Содержимое таблицы"/>
    <w:basedOn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Arial" w:hAnsi="Arial" w:eastAsia="Times New Roman"/>
      <w:sz w:val="20"/>
      <w:lang w:val="ru-RU" w:eastAsia="ar-SA"/>
    </w:rPr>
  </w:style>
  <w:style w:type="paragraph" w:styleId="22">
    <w:name w:val="Основной текст 22"/>
    <w:basedOn w:val="Normal"/>
    <w:qFormat/>
    <w:pPr>
      <w:widowControl w:val="false"/>
      <w:suppressAutoHyphens w:val="true"/>
      <w:bidi w:val="0"/>
      <w:spacing w:lineRule="atLeast" w:line="240"/>
      <w:ind w:left="6180" w:right="0" w:hanging="0"/>
      <w:jc w:val="left"/>
      <w:textAlignment w:val="auto"/>
    </w:pPr>
    <w:rPr>
      <w:rFonts w:ascii="Arial" w:hAnsi="Arial" w:eastAsia="Times New Roman"/>
      <w:sz w:val="30"/>
      <w:lang w:val="ru-RU" w:eastAsia="ar-SA"/>
    </w:rPr>
  </w:style>
  <w:style w:type="paragraph" w:styleId="Style27">
    <w:name w:val="Footer"/>
    <w:basedOn w:val="Normal"/>
    <w:pPr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  <w:style w:type="paragraph" w:styleId="ListParagraph">
    <w:name w:val="List Paragraph"/>
    <w:basedOn w:val="Normal"/>
    <w:qFormat/>
    <w:pPr>
      <w:widowControl/>
      <w:suppressAutoHyphens w:val="true"/>
      <w:bidi w:val="0"/>
      <w:spacing w:before="120" w:after="0"/>
      <w:ind w:left="708" w:right="0" w:firstLine="720"/>
      <w:jc w:val="both"/>
      <w:textAlignment w:val="baseline"/>
    </w:pPr>
    <w:rPr>
      <w:rFonts w:ascii="Times New Roman" w:hAnsi="Times New Roman" w:eastAsia="Times New Roman"/>
      <w:sz w:val="24"/>
      <w:lang w:val="ru-RU" w:eastAsia="ar-SA"/>
    </w:rPr>
  </w:style>
  <w:style w:type="paragraph" w:styleId="BalloonText">
    <w:name w:val="Balloon Text"/>
    <w:basedOn w:val="Normal"/>
    <w:qFormat/>
    <w:pPr>
      <w:widowControl/>
      <w:bidi w:val="0"/>
      <w:ind w:left="0" w:right="0" w:hanging="0"/>
      <w:jc w:val="left"/>
      <w:textAlignment w:val="auto"/>
    </w:pPr>
    <w:rPr>
      <w:rFonts w:ascii="Tahoma" w:hAnsi="Tahoma" w:eastAsia="Tahoma"/>
      <w:sz w:val="16"/>
      <w:lang w:val="ru-RU" w:eastAsia="ar-SA"/>
    </w:rPr>
  </w:style>
  <w:style w:type="paragraph" w:styleId="TableGrid">
    <w:name w:val="Table Grid"/>
    <w:basedOn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0"/>
      <w:lang w:val="ru-RU" w:eastAsia="ar-SA"/>
    </w:rPr>
  </w:style>
  <w:style w:type="paragraph" w:styleId="Style28">
    <w:name w:val="Header"/>
    <w:basedOn w:val="Normal"/>
    <w:pPr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  <w:style w:type="paragraph" w:styleId="Style29">
    <w:name w:val="Title"/>
    <w:basedOn w:val="Normal"/>
    <w:qFormat/>
    <w:pPr>
      <w:widowControl w:val="false"/>
      <w:suppressAutoHyphens w:val="true"/>
      <w:bidi w:val="0"/>
      <w:ind w:left="0" w:right="0" w:hanging="0"/>
      <w:jc w:val="center"/>
      <w:textAlignment w:val="auto"/>
    </w:pPr>
    <w:rPr>
      <w:rFonts w:ascii="Arial" w:hAnsi="Arial" w:eastAsia="Times New Roman"/>
      <w:b/>
      <w:sz w:val="20"/>
      <w:lang w:val="ru-RU" w:eastAsia="ar-SA"/>
    </w:rPr>
  </w:style>
  <w:style w:type="paragraph" w:styleId="Style30">
    <w:name w:val="Subtitle"/>
    <w:basedOn w:val="Normal"/>
    <w:qFormat/>
    <w:pPr>
      <w:widowControl w:val="false"/>
      <w:suppressAutoHyphens w:val="true"/>
      <w:bidi w:val="0"/>
      <w:spacing w:before="0" w:after="60"/>
      <w:ind w:left="0" w:right="0" w:hanging="0"/>
      <w:jc w:val="center"/>
      <w:textAlignment w:val="auto"/>
    </w:pPr>
    <w:rPr>
      <w:rFonts w:ascii="Arial" w:hAnsi="Arial" w:eastAsia="Times New Roman"/>
      <w:sz w:val="20"/>
      <w:lang w:val="ru-RU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C://Users//AppData//Local//Temp//notesC7A056//www.pfrf.ru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LibreOffice/5.2.2.2$Windows_x86 LibreOffice_project/8f96e87c890bf8fa77463cd4b640a2312823f3ad</Application>
  <Pages>1</Pages>
  <Words>315</Words>
  <Characters>2232</Characters>
  <CharactersWithSpaces>2538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2018-02-16T11:04:00Z</dcterms:created>
  <dc:creator>Хаустова Н.Б.</dc:creator>
  <dc:description/>
  <dc:language>ru-RU</dc:language>
  <cp:lastModifiedBy/>
  <cp:lastPrinted>2018-02-21T14:30:00Z</cp:lastPrinted>
  <dcterms:modified xsi:type="dcterms:W3CDTF">2018-02-26T16:09:00Z</dcterms:modified>
  <cp:revision>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Всеволожская Елена Александровна</vt:lpwstr>
  </property>
</Properties>
</file>